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65" w:rsidRDefault="009357F3" w:rsidP="00164F65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35980" cy="8166100"/>
            <wp:effectExtent l="0" t="0" r="762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ФК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F54" w:rsidRDefault="00530F54" w:rsidP="00A127A5">
      <w:pPr>
        <w:spacing w:after="160" w:line="252" w:lineRule="auto"/>
        <w:jc w:val="center"/>
        <w:rPr>
          <w:sz w:val="28"/>
          <w:szCs w:val="28"/>
        </w:rPr>
      </w:pPr>
    </w:p>
    <w:p w:rsidR="009357F3" w:rsidRDefault="009357F3" w:rsidP="00A127A5">
      <w:pPr>
        <w:spacing w:after="160" w:line="252" w:lineRule="auto"/>
        <w:jc w:val="center"/>
        <w:rPr>
          <w:sz w:val="28"/>
          <w:szCs w:val="28"/>
        </w:rPr>
      </w:pPr>
      <w:bookmarkStart w:id="0" w:name="_GoBack"/>
      <w:bookmarkEnd w:id="0"/>
    </w:p>
    <w:p w:rsidR="00530F54" w:rsidRPr="00C46658" w:rsidRDefault="00530F54" w:rsidP="00A127A5">
      <w:pPr>
        <w:spacing w:after="160" w:line="252" w:lineRule="auto"/>
        <w:jc w:val="center"/>
      </w:pPr>
    </w:p>
    <w:p w:rsidR="00A127A5" w:rsidRPr="00C46658" w:rsidRDefault="00A127A5" w:rsidP="00C46658">
      <w:pPr>
        <w:pStyle w:val="a5"/>
        <w:numPr>
          <w:ilvl w:val="0"/>
          <w:numId w:val="5"/>
        </w:numPr>
        <w:spacing w:after="160" w:line="252" w:lineRule="auto"/>
        <w:jc w:val="center"/>
        <w:rPr>
          <w:rFonts w:ascii="Times New Roman" w:hAnsi="Times New Roman"/>
          <w:sz w:val="24"/>
          <w:szCs w:val="24"/>
        </w:rPr>
      </w:pPr>
      <w:r w:rsidRPr="00C46658">
        <w:rPr>
          <w:rFonts w:ascii="Times New Roman" w:hAnsi="Times New Roman"/>
          <w:sz w:val="24"/>
          <w:szCs w:val="24"/>
        </w:rPr>
        <w:lastRenderedPageBreak/>
        <w:t>П</w:t>
      </w:r>
      <w:r w:rsidRPr="00C46658">
        <w:rPr>
          <w:rFonts w:ascii="Times New Roman" w:hAnsi="Times New Roman"/>
          <w:b/>
          <w:bCs/>
          <w:sz w:val="24"/>
          <w:szCs w:val="24"/>
        </w:rPr>
        <w:t xml:space="preserve">еречень компетенций, </w:t>
      </w:r>
      <w:r w:rsidRPr="00C46658">
        <w:rPr>
          <w:rFonts w:ascii="Times New Roman" w:hAnsi="Times New Roman"/>
          <w:b/>
          <w:sz w:val="24"/>
          <w:szCs w:val="24"/>
        </w:rPr>
        <w:t>формируемы</w:t>
      </w:r>
      <w:r w:rsidR="00C46658">
        <w:rPr>
          <w:rFonts w:ascii="Times New Roman" w:hAnsi="Times New Roman"/>
          <w:b/>
          <w:sz w:val="24"/>
          <w:szCs w:val="24"/>
        </w:rPr>
        <w:t>х в процессе освоения дисциплины</w:t>
      </w:r>
    </w:p>
    <w:p w:rsidR="00A127A5" w:rsidRPr="00C46658" w:rsidRDefault="00A127A5" w:rsidP="00A127A5">
      <w:pPr>
        <w:pStyle w:val="a5"/>
        <w:tabs>
          <w:tab w:val="left" w:pos="1080"/>
        </w:tabs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46658">
        <w:rPr>
          <w:rFonts w:ascii="Times New Roman" w:eastAsia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:rsidR="00A127A5" w:rsidRPr="00C46658" w:rsidRDefault="00A127A5" w:rsidP="00C46658">
      <w:pPr>
        <w:pStyle w:val="a5"/>
        <w:numPr>
          <w:ilvl w:val="0"/>
          <w:numId w:val="5"/>
        </w:numPr>
        <w:tabs>
          <w:tab w:val="left" w:pos="1080"/>
        </w:tabs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46658">
        <w:rPr>
          <w:rFonts w:ascii="Times New Roman" w:hAnsi="Times New Roman"/>
          <w:b/>
          <w:sz w:val="24"/>
          <w:szCs w:val="24"/>
        </w:rPr>
        <w:t>Планируемые результаты обучения (знает, умеет, владеет (имеет навык)) по дисциплине:</w:t>
      </w:r>
    </w:p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Знать -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C46658">
              <w:rPr>
                <w:color w:val="000000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C46658">
              <w:rPr>
                <w:color w:val="000000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C46658">
              <w:rPr>
                <w:color w:val="000000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C46658">
              <w:rPr>
                <w:color w:val="000000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C46658">
              <w:rPr>
                <w:color w:val="000000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Уметь -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C46658">
              <w:rPr>
                <w:color w:val="000000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      </w:r>
            <w:r w:rsidRPr="00C46658">
              <w:rPr>
                <w:color w:val="000000"/>
              </w:rPr>
              <w:br/>
              <w:t>• выполнять простейшие приемы самомассажа и релаксации;</w:t>
            </w:r>
            <w:r w:rsidRPr="00C46658">
              <w:rPr>
                <w:color w:val="000000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C46658">
              <w:rPr>
                <w:color w:val="000000"/>
              </w:rPr>
              <w:br/>
              <w:t xml:space="preserve">• выполнять приемы защиты и самообороны, страховки и </w:t>
            </w:r>
            <w:proofErr w:type="spellStart"/>
            <w:r w:rsidRPr="00C46658">
              <w:rPr>
                <w:color w:val="000000"/>
              </w:rPr>
              <w:t>самостраховки</w:t>
            </w:r>
            <w:proofErr w:type="spellEnd"/>
            <w:r w:rsidRPr="00C46658">
              <w:rPr>
                <w:color w:val="000000"/>
              </w:rPr>
              <w:t xml:space="preserve">; </w:t>
            </w:r>
          </w:p>
        </w:tc>
      </w:tr>
      <w:tr w:rsidR="00A127A5" w:rsidRPr="00C46658" w:rsidTr="00FF3DE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A5" w:rsidRPr="00C46658" w:rsidRDefault="00A127A5" w:rsidP="00FF3DE2">
            <w:pPr>
              <w:rPr>
                <w:color w:val="000000"/>
              </w:rPr>
            </w:pPr>
            <w:r w:rsidRPr="00C46658">
              <w:rPr>
                <w:color w:val="000000"/>
              </w:rPr>
              <w:t xml:space="preserve">Владеть - опытом спортивной деятельности, физическим самосовершенствованием и самовоспитанием; </w:t>
            </w:r>
            <w:r w:rsidRPr="00C46658">
              <w:rPr>
                <w:color w:val="000000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C46658">
              <w:rPr>
                <w:color w:val="000000"/>
              </w:rPr>
              <w:br/>
              <w:t>• методикой самостоятельных занятий и самоконтроля за состоянием своего организма.</w:t>
            </w:r>
            <w:r w:rsidRPr="00C46658">
              <w:rPr>
                <w:color w:val="000000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C46658">
              <w:rPr>
                <w:color w:val="000000"/>
              </w:rPr>
              <w:br/>
              <w:t xml:space="preserve">• методикой организации и проведения индивидуального, коллективного и семейного отдыха и при участии в массовых спортивных соревнованиях. </w:t>
            </w:r>
          </w:p>
        </w:tc>
      </w:tr>
    </w:tbl>
    <w:p w:rsidR="00A127A5" w:rsidRPr="00C46658" w:rsidRDefault="00A127A5" w:rsidP="00A127A5">
      <w:pPr>
        <w:tabs>
          <w:tab w:val="left" w:pos="1080"/>
        </w:tabs>
        <w:jc w:val="both"/>
      </w:pPr>
    </w:p>
    <w:p w:rsidR="00A127A5" w:rsidRPr="00C46658" w:rsidRDefault="00A127A5" w:rsidP="00A127A5">
      <w:pPr>
        <w:widowControl w:val="0"/>
        <w:suppressAutoHyphens/>
        <w:jc w:val="both"/>
        <w:rPr>
          <w:b/>
        </w:rPr>
        <w:sectPr w:rsidR="00A127A5" w:rsidRPr="00C46658" w:rsidSect="00C46658">
          <w:footerReference w:type="default" r:id="rId9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127A5" w:rsidRPr="00C46658" w:rsidRDefault="00A127A5" w:rsidP="00A127A5">
      <w:pPr>
        <w:pStyle w:val="3"/>
        <w:rPr>
          <w:rFonts w:ascii="Times New Roman" w:hAnsi="Times New Roman" w:cs="Times New Roman"/>
          <w:kern w:val="0"/>
          <w:sz w:val="24"/>
          <w:szCs w:val="24"/>
          <w:lang w:eastAsia="ru-RU" w:bidi="ar-SA"/>
        </w:rPr>
      </w:pPr>
      <w:bookmarkStart w:id="1" w:name="_Toc1560104"/>
      <w:bookmarkStart w:id="2" w:name="_Toc1579825"/>
      <w:r w:rsidRPr="00C46658">
        <w:rPr>
          <w:rFonts w:ascii="Times New Roman" w:hAnsi="Times New Roman" w:cs="Times New Roman"/>
          <w:sz w:val="24"/>
          <w:szCs w:val="24"/>
        </w:rPr>
        <w:lastRenderedPageBreak/>
        <w:t>3.Описание средств, показателей, критериев и шкал оценивания компетенций на различных этапах формирования компетенции</w:t>
      </w:r>
      <w:bookmarkEnd w:id="1"/>
      <w:bookmarkEnd w:id="2"/>
    </w:p>
    <w:p w:rsidR="00A127A5" w:rsidRPr="00C46658" w:rsidRDefault="00A127A5" w:rsidP="00A127A5">
      <w:pPr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rPr>
          <w:b/>
        </w:rPr>
      </w:pPr>
    </w:p>
    <w:tbl>
      <w:tblPr>
        <w:tblW w:w="95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4417"/>
        <w:gridCol w:w="567"/>
        <w:gridCol w:w="2442"/>
        <w:gridCol w:w="1576"/>
      </w:tblGrid>
      <w:tr w:rsidR="00A127A5" w:rsidRPr="00C46658" w:rsidTr="00FF3DE2">
        <w:trPr>
          <w:cantSplit/>
          <w:trHeight w:val="1025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127A5" w:rsidRPr="00C46658" w:rsidRDefault="00A127A5" w:rsidP="00FF3DE2">
            <w:pPr>
              <w:rPr>
                <w:b/>
                <w:bCs/>
              </w:rPr>
            </w:pPr>
          </w:p>
          <w:p w:rsidR="00A127A5" w:rsidRPr="00C46658" w:rsidRDefault="00A127A5" w:rsidP="00FF3DE2">
            <w:pPr>
              <w:rPr>
                <w:b/>
                <w:bCs/>
              </w:rPr>
            </w:pPr>
            <w:r w:rsidRPr="00C46658">
              <w:rPr>
                <w:b/>
                <w:bCs/>
              </w:rPr>
              <w:t>№</w:t>
            </w:r>
          </w:p>
          <w:p w:rsidR="00A127A5" w:rsidRPr="00C46658" w:rsidRDefault="00A127A5" w:rsidP="00FF3DE2">
            <w:pPr>
              <w:rPr>
                <w:b/>
                <w:bCs/>
              </w:rPr>
            </w:pPr>
            <w:r w:rsidRPr="00C46658">
              <w:rPr>
                <w:b/>
                <w:bCs/>
              </w:rPr>
              <w:t>п/п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27A5" w:rsidRPr="00C46658" w:rsidRDefault="00A127A5" w:rsidP="00FF3DE2">
            <w:pPr>
              <w:rPr>
                <w:b/>
                <w:bCs/>
              </w:rPr>
            </w:pPr>
          </w:p>
          <w:p w:rsidR="00A127A5" w:rsidRPr="00C46658" w:rsidRDefault="00A127A5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Контролируемые разделы</w:t>
            </w:r>
          </w:p>
          <w:p w:rsidR="00A127A5" w:rsidRPr="00C46658" w:rsidRDefault="00A127A5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дисциплины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8" w:space="0" w:color="auto"/>
            </w:tcBorders>
            <w:textDirection w:val="btLr"/>
          </w:tcPr>
          <w:p w:rsidR="00A127A5" w:rsidRPr="00C46658" w:rsidRDefault="00A127A5" w:rsidP="00FF3DE2">
            <w:pPr>
              <w:ind w:left="113" w:right="113"/>
              <w:jc w:val="center"/>
              <w:rPr>
                <w:b/>
                <w:bCs/>
                <w:color w:val="FF0000"/>
              </w:rPr>
            </w:pPr>
            <w:r w:rsidRPr="00C46658">
              <w:rPr>
                <w:b/>
                <w:bCs/>
                <w:color w:val="FF0000"/>
              </w:rPr>
              <w:t>Семестр</w:t>
            </w:r>
          </w:p>
        </w:tc>
        <w:tc>
          <w:tcPr>
            <w:tcW w:w="2442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Код контролируемых компетенций</w:t>
            </w:r>
          </w:p>
          <w:p w:rsidR="00A127A5" w:rsidRPr="00C46658" w:rsidRDefault="00A127A5" w:rsidP="00FF3DE2">
            <w:pPr>
              <w:jc w:val="center"/>
              <w:rPr>
                <w:b/>
                <w:bCs/>
              </w:rPr>
            </w:pPr>
          </w:p>
        </w:tc>
        <w:tc>
          <w:tcPr>
            <w:tcW w:w="15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127A5" w:rsidRPr="00C46658" w:rsidRDefault="00A127A5" w:rsidP="00FF3DE2">
            <w:pPr>
              <w:jc w:val="center"/>
              <w:rPr>
                <w:b/>
                <w:bCs/>
              </w:rPr>
            </w:pPr>
            <w:r w:rsidRPr="00C46658">
              <w:rPr>
                <w:b/>
                <w:bCs/>
              </w:rPr>
              <w:t>Наименование оценочного средства</w:t>
            </w:r>
          </w:p>
        </w:tc>
      </w:tr>
      <w:tr w:rsidR="00A127A5" w:rsidRPr="00C46658" w:rsidTr="00FF3DE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/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Методико-практические и теоретические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A5" w:rsidRPr="00C46658" w:rsidRDefault="00A127A5" w:rsidP="00FF3DE2">
            <w:pPr>
              <w:jc w:val="center"/>
            </w:pPr>
            <w:r w:rsidRPr="00C46658">
              <w:t>опрос</w:t>
            </w:r>
          </w:p>
        </w:tc>
      </w:tr>
      <w:tr w:rsidR="00A127A5" w:rsidRPr="00C46658" w:rsidTr="00FF3DE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/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лёгкая атлетика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7A5" w:rsidRPr="00C46658" w:rsidRDefault="00A127A5" w:rsidP="00FF3DE2">
            <w:pPr>
              <w:jc w:val="center"/>
            </w:pPr>
            <w:r w:rsidRPr="00C46658">
              <w:t xml:space="preserve">сдача нормативов </w:t>
            </w:r>
          </w:p>
        </w:tc>
      </w:tr>
      <w:tr w:rsidR="00A127A5" w:rsidRPr="00C46658" w:rsidTr="00FF3DE2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спортивные игры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7A5" w:rsidRPr="00C46658" w:rsidRDefault="00A127A5" w:rsidP="00FF3DE2">
            <w:pPr>
              <w:jc w:val="center"/>
            </w:pPr>
            <w:r w:rsidRPr="00C46658">
              <w:t>участие (общая подготовка)</w:t>
            </w:r>
          </w:p>
        </w:tc>
      </w:tr>
      <w:tr w:rsidR="00A127A5" w:rsidRPr="00C46658" w:rsidTr="00FF3DE2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>Блок общей физической подготовки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7A5" w:rsidRPr="00C46658" w:rsidRDefault="00A127A5" w:rsidP="00FF3DE2">
            <w:pPr>
              <w:jc w:val="center"/>
            </w:pPr>
            <w:r w:rsidRPr="00C46658">
              <w:t>комплекс упражнений</w:t>
            </w:r>
          </w:p>
        </w:tc>
      </w:tr>
      <w:tr w:rsidR="00A127A5" w:rsidRPr="00C46658" w:rsidTr="00FF3DE2"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/>
        </w:tc>
        <w:tc>
          <w:tcPr>
            <w:tcW w:w="441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rPr>
                <w:spacing w:val="-4"/>
              </w:rPr>
            </w:pPr>
            <w:r w:rsidRPr="00C46658">
              <w:rPr>
                <w:spacing w:val="-4"/>
              </w:rPr>
              <w:t xml:space="preserve">Контроль физической подготовленности 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jc w:val="center"/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A5" w:rsidRPr="00C46658" w:rsidRDefault="00A127A5" w:rsidP="00FF3DE2">
            <w:pPr>
              <w:ind w:right="-157"/>
              <w:jc w:val="center"/>
            </w:pPr>
            <w:r w:rsidRPr="00C46658">
              <w:t>УК-7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7A5" w:rsidRPr="00C46658" w:rsidRDefault="00A127A5" w:rsidP="00FF3DE2">
            <w:pPr>
              <w:jc w:val="center"/>
            </w:pPr>
            <w:r w:rsidRPr="00C46658">
              <w:t>сдача нормативов, зачет</w:t>
            </w:r>
          </w:p>
        </w:tc>
      </w:tr>
    </w:tbl>
    <w:p w:rsidR="00A127A5" w:rsidRPr="00C46658" w:rsidRDefault="00A127A5" w:rsidP="00A127A5">
      <w:pPr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rPr>
          <w:b/>
          <w:i/>
        </w:rPr>
      </w:pPr>
      <w:r w:rsidRPr="00C46658">
        <w:rPr>
          <w:b/>
          <w:i/>
        </w:rPr>
        <w:t>6.1 Текущий контроль и промежуточная аттестация по дисциплине.</w:t>
      </w:r>
    </w:p>
    <w:p w:rsidR="00A127A5" w:rsidRPr="00C46658" w:rsidRDefault="00A127A5" w:rsidP="00A127A5">
      <w:pPr>
        <w:jc w:val="both"/>
      </w:pPr>
      <w:r w:rsidRPr="00C46658">
        <w:rPr>
          <w:iCs/>
        </w:rPr>
        <w:t xml:space="preserve">          Контрольные занятия, зачеты обеспечивают оперативную, текущую и итоговую дифференцированную информацию о степени освоения теоретических и методических знаний-умений, о состоянии и динамике физического развития, физической и профессионально-прикладной подготовленности каждого студента.</w:t>
      </w:r>
    </w:p>
    <w:p w:rsidR="00A127A5" w:rsidRPr="00C46658" w:rsidRDefault="00A127A5" w:rsidP="00A127A5">
      <w:pPr>
        <w:jc w:val="both"/>
      </w:pPr>
      <w:r w:rsidRPr="00C46658">
        <w:rPr>
          <w:iCs/>
        </w:rPr>
        <w:t xml:space="preserve">         В качестве критериев результативности учебно-тренировочных занятий выступают требования и показатели, основанные на использовании двигательной активности не ниже определенного минимума - регулярности посещения обязательных занятий; обязательных и дополнительных тестов по профессионально-прикладной физической подготовке.</w:t>
      </w:r>
    </w:p>
    <w:p w:rsidR="00A127A5" w:rsidRPr="00C46658" w:rsidRDefault="00A127A5" w:rsidP="00A127A5">
      <w:pPr>
        <w:jc w:val="both"/>
        <w:rPr>
          <w:iCs/>
        </w:rPr>
      </w:pPr>
      <w:r w:rsidRPr="00C46658">
        <w:rPr>
          <w:iCs/>
        </w:rPr>
        <w:t xml:space="preserve">          Оперативный контроль обеспечивает информацию о ходе выполнения студентами конкретного раздела, вида учебной работы. Текущий </w:t>
      </w:r>
      <w:r w:rsidRPr="00C46658">
        <w:t xml:space="preserve">- </w:t>
      </w:r>
      <w:r w:rsidRPr="00C46658">
        <w:rPr>
          <w:iCs/>
        </w:rPr>
        <w:t xml:space="preserve">позволяет оценить степень освоения раздела, темы, вида учебной работы. Промежуточная аттестация (зачеты) дает возможность выявить уровень </w:t>
      </w:r>
      <w:proofErr w:type="spellStart"/>
      <w:r w:rsidRPr="00C46658">
        <w:rPr>
          <w:iCs/>
        </w:rPr>
        <w:t>сформированности</w:t>
      </w:r>
      <w:proofErr w:type="spellEnd"/>
      <w:r w:rsidRPr="00C46658">
        <w:rPr>
          <w:iCs/>
        </w:rPr>
        <w:t xml:space="preserve"> физической культуры студента и самоопределения в ней через комплексную проверку знаний, методических и практических умений, характеристику общей физической, спортивно-технической подготовленности студента, его психофизической готовности к профессиональной деятельности.</w:t>
      </w:r>
    </w:p>
    <w:p w:rsidR="00A127A5" w:rsidRPr="00C46658" w:rsidRDefault="00A127A5" w:rsidP="00A127A5">
      <w:pPr>
        <w:rPr>
          <w:b/>
          <w:i/>
        </w:rPr>
      </w:pPr>
      <w:r w:rsidRPr="00C46658">
        <w:rPr>
          <w:b/>
          <w:i/>
        </w:rPr>
        <w:t>6.2. Вид промежуточной аттестации</w:t>
      </w:r>
    </w:p>
    <w:p w:rsidR="00A127A5" w:rsidRPr="00C46658" w:rsidRDefault="00A127A5" w:rsidP="00A127A5">
      <w:pPr>
        <w:ind w:firstLine="540"/>
        <w:jc w:val="both"/>
      </w:pPr>
      <w:r w:rsidRPr="00C46658">
        <w:t>- зачет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Условием допуска является выполнение обязательных тестов (нормативов) по общефизической и профессионально-прикладной физической подготовке, предусмотренных в течение обучения.</w:t>
      </w:r>
    </w:p>
    <w:p w:rsidR="00A127A5" w:rsidRPr="00C46658" w:rsidRDefault="00A127A5" w:rsidP="00A127A5">
      <w:pPr>
        <w:ind w:firstLine="708"/>
        <w:jc w:val="both"/>
        <w:rPr>
          <w:iCs/>
        </w:rPr>
      </w:pPr>
      <w:r w:rsidRPr="00C46658">
        <w:rPr>
          <w:iCs/>
        </w:rPr>
        <w:t>Критерием успешности освоения</w:t>
      </w:r>
      <w:r w:rsidRPr="00C46658">
        <w:rPr>
          <w:i/>
          <w:iCs/>
        </w:rPr>
        <w:t xml:space="preserve"> </w:t>
      </w:r>
      <w:r w:rsidRPr="00C46658">
        <w:rPr>
          <w:iCs/>
        </w:rPr>
        <w:t xml:space="preserve">учебного материала студентом является экспертная оценка преподавателя регулярности посещения обязательных учебных занятий и результатов соответствующих тестов (сдаваемых нормативов) </w:t>
      </w:r>
    </w:p>
    <w:p w:rsidR="00A127A5" w:rsidRPr="00C46658" w:rsidRDefault="00A127A5" w:rsidP="00A127A5">
      <w:pPr>
        <w:ind w:firstLine="540"/>
        <w:jc w:val="both"/>
        <w:rPr>
          <w:b/>
          <w:i/>
        </w:rPr>
      </w:pPr>
      <w:r w:rsidRPr="00C46658">
        <w:rPr>
          <w:b/>
          <w:i/>
          <w:iCs/>
        </w:rPr>
        <w:t>Критерии оценивания результатов обучения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Оценка «зачтено» ставится, если студент, завершивший обучение по дисциплине «Физическая культура и спорт», обнаружил знания, общую и специальную физическую подготовленность, соответствующие требованиям программы, прежде всего полностью сформированную компетенцию ОК-7</w:t>
      </w:r>
      <w:r w:rsidRPr="00C46658">
        <w:rPr>
          <w:b/>
          <w:i/>
          <w:iCs/>
        </w:rPr>
        <w:t xml:space="preserve"> </w:t>
      </w:r>
      <w:r w:rsidRPr="00C46658">
        <w:rPr>
          <w:iCs/>
        </w:rPr>
        <w:t>(</w:t>
      </w:r>
      <w:r w:rsidRPr="00C46658">
        <w:rPr>
          <w:i/>
          <w:iCs/>
        </w:rPr>
        <w:t>знать</w:t>
      </w:r>
      <w:r w:rsidRPr="00C46658">
        <w:rPr>
          <w:iCs/>
        </w:rPr>
        <w:t xml:space="preserve"> основы физической культуры и здорового образа жизни; основы</w:t>
      </w:r>
      <w:r w:rsidRPr="00C46658">
        <w:t xml:space="preserve"> </w:t>
      </w:r>
      <w:r w:rsidRPr="00C46658">
        <w:rPr>
          <w:iCs/>
        </w:rPr>
        <w:t>методики самостоятельных занятий физическими упражнениями;</w:t>
      </w:r>
      <w:r w:rsidRPr="00C46658">
        <w:t xml:space="preserve"> </w:t>
      </w:r>
      <w:r w:rsidRPr="00C46658">
        <w:rPr>
          <w:iCs/>
        </w:rPr>
        <w:t>особенности использования средств физической культуры для</w:t>
      </w:r>
      <w:r w:rsidRPr="00C46658">
        <w:t xml:space="preserve"> </w:t>
      </w:r>
      <w:r w:rsidRPr="00C46658">
        <w:rPr>
          <w:iCs/>
        </w:rPr>
        <w:t xml:space="preserve">оптимизации </w:t>
      </w:r>
      <w:r w:rsidRPr="00C46658">
        <w:rPr>
          <w:iCs/>
        </w:rPr>
        <w:lastRenderedPageBreak/>
        <w:t>работоспособности;</w:t>
      </w:r>
      <w:r w:rsidRPr="00C46658">
        <w:rPr>
          <w:i/>
          <w:iCs/>
        </w:rPr>
        <w:t xml:space="preserve"> уметь</w:t>
      </w:r>
      <w:r w:rsidRPr="00C46658">
        <w:rPr>
          <w:iCs/>
        </w:rPr>
        <w:t xml:space="preserve"> использовать физкультурно-спортивную деятельность для</w:t>
      </w:r>
      <w:r w:rsidRPr="00C46658">
        <w:t xml:space="preserve"> </w:t>
      </w:r>
      <w:r w:rsidRPr="00C46658">
        <w:rPr>
          <w:iCs/>
        </w:rPr>
        <w:t>повышения своих функциональных и двигательных возможностей, для</w:t>
      </w:r>
      <w:r w:rsidRPr="00C46658">
        <w:t xml:space="preserve"> </w:t>
      </w:r>
      <w:r w:rsidRPr="00C46658">
        <w:rPr>
          <w:iCs/>
        </w:rPr>
        <w:t xml:space="preserve">достижения личных жизненных и профессиональных целей; </w:t>
      </w:r>
      <w:r w:rsidRPr="00C46658">
        <w:rPr>
          <w:i/>
          <w:iCs/>
        </w:rPr>
        <w:t>владеть</w:t>
      </w:r>
      <w:r w:rsidRPr="00C46658">
        <w:rPr>
          <w:iCs/>
        </w:rPr>
        <w:t xml:space="preserve"> 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 - с выполнением, установленных нормативов по общей физической и спортивно-технической</w:t>
      </w:r>
      <w:r w:rsidRPr="00C46658">
        <w:t xml:space="preserve"> </w:t>
      </w:r>
      <w:r w:rsidRPr="00C46658">
        <w:rPr>
          <w:iCs/>
        </w:rPr>
        <w:t>подготовке). Студенты, временно освобожденные</w:t>
      </w:r>
      <w:r w:rsidRPr="00C46658">
        <w:rPr>
          <w:i/>
          <w:iCs/>
        </w:rPr>
        <w:t xml:space="preserve"> </w:t>
      </w:r>
      <w:r w:rsidRPr="00C46658">
        <w:rPr>
          <w:iCs/>
        </w:rPr>
        <w:t>от практических занятий по состоянию здоровья, оцениваются по посещаемости занятий с участием в организации судейства, результатам устного опроса.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proofErr w:type="spellStart"/>
      <w:r w:rsidRPr="00C46658">
        <w:t>Сформированность</w:t>
      </w:r>
      <w:proofErr w:type="spellEnd"/>
      <w:r w:rsidRPr="00C46658">
        <w:t xml:space="preserve"> каждой компетенции в рамках освоения данной дисциплины оценивается по трехуровневой шкале: - пороговый уровень является обязательным для всех обучающихся по завершении освоения дисциплины;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 xml:space="preserve">- продвинутый уровень характеризуется превышением минимальных характеристик </w:t>
      </w:r>
      <w:proofErr w:type="spellStart"/>
      <w:r w:rsidRPr="00C46658">
        <w:t>сформированности</w:t>
      </w:r>
      <w:proofErr w:type="spellEnd"/>
      <w:r w:rsidRPr="00C46658">
        <w:t xml:space="preserve"> компетенции по завершении освоения дисциплины;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- эталонный уровень характеризуется максимально возможной выраженностью компетенции и является важным качественным ориентиром для самосовершенствования.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>При достаточном качестве освоения более 80% приведенных знаний, умений и навыков преподаватель оценивает освоение данной компетенции в рамках настоящей дисциплины на эталонном уровне, при освоении более 60% приведенных знаний, умений и навыков – на продвинутом, при освоении более 40% приведенных знаний, умений и навыков - на пороговом уровне. В противном случае компетенция в рамках настоящей дисциплины считается неосвоенной.</w:t>
      </w:r>
    </w:p>
    <w:p w:rsidR="00A127A5" w:rsidRPr="00C46658" w:rsidRDefault="00A127A5" w:rsidP="00A127A5">
      <w:pPr>
        <w:autoSpaceDE w:val="0"/>
        <w:autoSpaceDN w:val="0"/>
        <w:adjustRightInd w:val="0"/>
        <w:jc w:val="both"/>
      </w:pPr>
      <w:r w:rsidRPr="00C46658">
        <w:t xml:space="preserve">Уровень </w:t>
      </w:r>
      <w:proofErr w:type="spellStart"/>
      <w:r w:rsidRPr="00C46658">
        <w:t>сформированности</w:t>
      </w:r>
      <w:proofErr w:type="spellEnd"/>
      <w:r w:rsidRPr="00C46658">
        <w:t xml:space="preserve"> каждой компетенции на различных этапах ее формирования в процессе освоения данной дисциплины оценивается в ходе текущего контроля успеваемости.</w:t>
      </w:r>
    </w:p>
    <w:p w:rsidR="00A127A5" w:rsidRPr="00C46658" w:rsidRDefault="00A127A5" w:rsidP="00A127A5">
      <w:pPr>
        <w:ind w:firstLine="540"/>
        <w:jc w:val="both"/>
        <w:rPr>
          <w:iCs/>
        </w:rPr>
      </w:pPr>
      <w:r w:rsidRPr="00C46658">
        <w:rPr>
          <w:iCs/>
        </w:rPr>
        <w:t>Оценка «не зачтено» ставится, если студент не посещал занятия (посетил мене 2/3 занятий) по неуважительной причине, не сдавал необходимые нормативы и не демонстрировал практические умения и навыки в соответствующих разделах дисциплины, т.е. освоил знания, умения и навыки менее порогового уровня 40%.</w:t>
      </w:r>
    </w:p>
    <w:p w:rsidR="00A127A5" w:rsidRPr="00C46658" w:rsidRDefault="00A127A5" w:rsidP="00A127A5">
      <w:pPr>
        <w:ind w:firstLine="540"/>
        <w:jc w:val="both"/>
        <w:rPr>
          <w:i/>
          <w:iCs/>
        </w:rPr>
      </w:pPr>
      <w:r w:rsidRPr="00C46658">
        <w:rPr>
          <w:b/>
          <w:i/>
          <w:iCs/>
        </w:rPr>
        <w:t xml:space="preserve">Описание шкалы оценивания: </w:t>
      </w:r>
      <w:r w:rsidRPr="00C46658">
        <w:rPr>
          <w:i/>
          <w:iCs/>
        </w:rPr>
        <w:t>«зачтено», «не зачтено»</w:t>
      </w:r>
    </w:p>
    <w:p w:rsidR="00A127A5" w:rsidRPr="00C46658" w:rsidRDefault="00A127A5" w:rsidP="00A127A5">
      <w:pPr>
        <w:ind w:firstLine="540"/>
        <w:jc w:val="both"/>
        <w:rPr>
          <w:b/>
          <w:i/>
        </w:rPr>
      </w:pPr>
    </w:p>
    <w:p w:rsidR="00A127A5" w:rsidRPr="00C46658" w:rsidRDefault="00A127A5" w:rsidP="00A127A5">
      <w:pPr>
        <w:pStyle w:val="a5"/>
        <w:numPr>
          <w:ilvl w:val="0"/>
          <w:numId w:val="4"/>
        </w:numPr>
        <w:tabs>
          <w:tab w:val="left" w:pos="270"/>
          <w:tab w:val="left" w:pos="3915"/>
        </w:tabs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C46658">
        <w:rPr>
          <w:rFonts w:ascii="Times New Roman" w:hAnsi="Times New Roman"/>
          <w:sz w:val="24"/>
          <w:szCs w:val="24"/>
          <w:u w:val="single"/>
        </w:rPr>
        <w:t>Балльно</w:t>
      </w:r>
      <w:proofErr w:type="spellEnd"/>
      <w:r w:rsidRPr="00C46658">
        <w:rPr>
          <w:rFonts w:ascii="Times New Roman" w:hAnsi="Times New Roman"/>
          <w:sz w:val="24"/>
          <w:szCs w:val="24"/>
          <w:u w:val="single"/>
        </w:rPr>
        <w:t>-рейтинговая структура оценки знаний студента</w:t>
      </w:r>
    </w:p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Посещение лекций и семинаров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2 балла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Работа на семинаре  (выступление с сообщением, самостоятельное изучение и освещение дополнительных вопросов)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</w:p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5-10 баллов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Рубежный контроль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1-10 баллов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Премиальные (за активное участие в обсуждении темы семинарского занятия)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</w:p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3 балла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Итого в течение семестра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40-70 баллов</w:t>
            </w:r>
          </w:p>
        </w:tc>
      </w:tr>
    </w:tbl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</w:p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  <w:r w:rsidRPr="00C46658">
        <w:t>Шкала оценок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«Отлично»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30 баллов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«Хорошо»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20 баллов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«Удовлетворительно»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15 баллов</w:t>
            </w:r>
          </w:p>
        </w:tc>
      </w:tr>
    </w:tbl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</w:p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  <w:r w:rsidRPr="00C46658">
        <w:t>Итоговое количество складывается из баллов, накопленных в течении семестра и баллов, получаемых на зачете и экзамене.</w:t>
      </w:r>
    </w:p>
    <w:p w:rsidR="00A127A5" w:rsidRPr="00C46658" w:rsidRDefault="00A127A5" w:rsidP="00A127A5">
      <w:pPr>
        <w:tabs>
          <w:tab w:val="left" w:pos="270"/>
          <w:tab w:val="left" w:pos="3915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Максимальное количество баллов в течение семестра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70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lastRenderedPageBreak/>
              <w:t>Максимальное количество баллов, получаемых на зачете и экзамене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</w:p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30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Максимальное итоговое количество баллов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100</w:t>
            </w:r>
          </w:p>
        </w:tc>
      </w:tr>
    </w:tbl>
    <w:p w:rsidR="00A127A5" w:rsidRPr="00C46658" w:rsidRDefault="00A127A5" w:rsidP="00A127A5">
      <w:pPr>
        <w:tabs>
          <w:tab w:val="left" w:pos="270"/>
          <w:tab w:val="left" w:pos="3915"/>
        </w:tabs>
        <w:jc w:val="both"/>
        <w:rPr>
          <w:b/>
        </w:rPr>
      </w:pPr>
    </w:p>
    <w:p w:rsidR="00A127A5" w:rsidRPr="00C46658" w:rsidRDefault="00A127A5" w:rsidP="00A127A5">
      <w:pPr>
        <w:tabs>
          <w:tab w:val="left" w:pos="270"/>
          <w:tab w:val="left" w:pos="3915"/>
        </w:tabs>
        <w:jc w:val="both"/>
      </w:pPr>
      <w:r w:rsidRPr="00C46658">
        <w:t>Итоговая оценка ставится в зачетную книжку и ведомость.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2"/>
        <w:gridCol w:w="2669"/>
      </w:tblGrid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100-85 баллов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«отлично»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84-70 баллов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«хорошо»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69-55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«удовлетворительно»</w:t>
            </w:r>
          </w:p>
        </w:tc>
      </w:tr>
      <w:tr w:rsidR="00A127A5" w:rsidRPr="00C46658" w:rsidTr="00FF3DE2">
        <w:tc>
          <w:tcPr>
            <w:tcW w:w="7128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Менее 55 баллов</w:t>
            </w:r>
          </w:p>
        </w:tc>
        <w:tc>
          <w:tcPr>
            <w:tcW w:w="2443" w:type="dxa"/>
          </w:tcPr>
          <w:p w:rsidR="00A127A5" w:rsidRPr="00C46658" w:rsidRDefault="00A127A5" w:rsidP="00FF3DE2">
            <w:pPr>
              <w:tabs>
                <w:tab w:val="left" w:pos="270"/>
                <w:tab w:val="left" w:pos="3915"/>
              </w:tabs>
              <w:jc w:val="both"/>
            </w:pPr>
            <w:r w:rsidRPr="00C46658">
              <w:t>«неудовлетворительно»</w:t>
            </w:r>
          </w:p>
        </w:tc>
      </w:tr>
    </w:tbl>
    <w:p w:rsidR="00A127A5" w:rsidRPr="00C46658" w:rsidRDefault="00A127A5" w:rsidP="00A127A5">
      <w:pPr>
        <w:jc w:val="both"/>
      </w:pPr>
    </w:p>
    <w:p w:rsidR="009F0E9C" w:rsidRPr="00C46658" w:rsidRDefault="00981B5C"/>
    <w:sectPr w:rsidR="009F0E9C" w:rsidRPr="00C46658" w:rsidSect="00C4665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5C" w:rsidRDefault="00981B5C" w:rsidP="00C46658">
      <w:r>
        <w:separator/>
      </w:r>
    </w:p>
  </w:endnote>
  <w:endnote w:type="continuationSeparator" w:id="0">
    <w:p w:rsidR="00981B5C" w:rsidRDefault="00981B5C" w:rsidP="00C4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692701"/>
      <w:docPartObj>
        <w:docPartGallery w:val="Page Numbers (Bottom of Page)"/>
        <w:docPartUnique/>
      </w:docPartObj>
    </w:sdtPr>
    <w:sdtEndPr/>
    <w:sdtContent>
      <w:p w:rsidR="00C46658" w:rsidRDefault="00C4665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7F3">
          <w:rPr>
            <w:noProof/>
          </w:rPr>
          <w:t>2</w:t>
        </w:r>
        <w:r>
          <w:fldChar w:fldCharType="end"/>
        </w:r>
      </w:p>
    </w:sdtContent>
  </w:sdt>
  <w:p w:rsidR="00C46658" w:rsidRDefault="00C466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5C" w:rsidRDefault="00981B5C" w:rsidP="00C46658">
      <w:r>
        <w:separator/>
      </w:r>
    </w:p>
  </w:footnote>
  <w:footnote w:type="continuationSeparator" w:id="0">
    <w:p w:rsidR="00981B5C" w:rsidRDefault="00981B5C" w:rsidP="00C46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3892"/>
    <w:multiLevelType w:val="hybridMultilevel"/>
    <w:tmpl w:val="D222E0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E86727"/>
    <w:multiLevelType w:val="hybridMultilevel"/>
    <w:tmpl w:val="6D2005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22F7C"/>
    <w:multiLevelType w:val="hybridMultilevel"/>
    <w:tmpl w:val="B2E2055E"/>
    <w:lvl w:ilvl="0" w:tplc="FCAC1B4E">
      <w:start w:val="2"/>
      <w:numFmt w:val="decimal"/>
      <w:lvlText w:val="%1."/>
      <w:lvlJc w:val="left"/>
      <w:pPr>
        <w:ind w:left="360" w:hanging="360"/>
      </w:pPr>
      <w:rPr>
        <w:rFonts w:eastAsia="SimSun" w:cs="Lucida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D24BA"/>
    <w:multiLevelType w:val="hybridMultilevel"/>
    <w:tmpl w:val="A178F9DE"/>
    <w:lvl w:ilvl="0" w:tplc="FB58F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0840AD"/>
    <w:multiLevelType w:val="hybridMultilevel"/>
    <w:tmpl w:val="AE7E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A5"/>
    <w:rsid w:val="00164F65"/>
    <w:rsid w:val="001720F7"/>
    <w:rsid w:val="001E689F"/>
    <w:rsid w:val="002365D5"/>
    <w:rsid w:val="00304206"/>
    <w:rsid w:val="00530F54"/>
    <w:rsid w:val="005344DB"/>
    <w:rsid w:val="00891E1B"/>
    <w:rsid w:val="008F173E"/>
    <w:rsid w:val="009357F3"/>
    <w:rsid w:val="00981B5C"/>
    <w:rsid w:val="00A127A5"/>
    <w:rsid w:val="00A4645F"/>
    <w:rsid w:val="00BD3B2C"/>
    <w:rsid w:val="00BF0327"/>
    <w:rsid w:val="00C46658"/>
    <w:rsid w:val="00CF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27A5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27A5"/>
    <w:pPr>
      <w:tabs>
        <w:tab w:val="left" w:pos="6225"/>
      </w:tabs>
      <w:ind w:left="75"/>
      <w:jc w:val="center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127A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27A5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5">
    <w:name w:val="List Paragraph"/>
    <w:basedOn w:val="a"/>
    <w:uiPriority w:val="34"/>
    <w:qFormat/>
    <w:rsid w:val="00A127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57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57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27A5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27A5"/>
    <w:pPr>
      <w:tabs>
        <w:tab w:val="left" w:pos="6225"/>
      </w:tabs>
      <w:ind w:left="75"/>
      <w:jc w:val="center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127A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27A5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5">
    <w:name w:val="List Paragraph"/>
    <w:basedOn w:val="a"/>
    <w:uiPriority w:val="34"/>
    <w:qFormat/>
    <w:rsid w:val="00A127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6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6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57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57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Сергеевна Дядькова</dc:creator>
  <cp:keywords/>
  <dc:description/>
  <cp:lastModifiedBy>Анастасия Сергеевна Калуцкая</cp:lastModifiedBy>
  <cp:revision>8</cp:revision>
  <dcterms:created xsi:type="dcterms:W3CDTF">2019-02-21T08:37:00Z</dcterms:created>
  <dcterms:modified xsi:type="dcterms:W3CDTF">2019-07-10T11:38:00Z</dcterms:modified>
</cp:coreProperties>
</file>